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32" w:rsidRDefault="00BC2C9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C2024"/>
          <w:sz w:val="28"/>
          <w:szCs w:val="29"/>
          <w:lang w:eastAsia="it-IT"/>
        </w:rPr>
      </w:pPr>
      <w:bookmarkStart w:id="0" w:name="News_77305"/>
      <w:bookmarkEnd w:id="0"/>
      <w:r>
        <w:rPr>
          <w:rFonts w:ascii="Times New Roman" w:eastAsia="Times New Roman" w:hAnsi="Times New Roman" w:cs="Times New Roman"/>
          <w:b/>
          <w:bCs/>
          <w:color w:val="1C2024"/>
          <w:sz w:val="28"/>
          <w:szCs w:val="29"/>
          <w:lang w:eastAsia="it-IT"/>
        </w:rPr>
        <w:t xml:space="preserve">Piano di Emergenza Esterna stabilimento </w:t>
      </w:r>
    </w:p>
    <w:p w:rsidR="00076632" w:rsidRDefault="00BC2C9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C2024"/>
          <w:sz w:val="28"/>
          <w:szCs w:val="29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C2024"/>
          <w:sz w:val="28"/>
          <w:szCs w:val="29"/>
          <w:lang w:eastAsia="it-IT"/>
        </w:rPr>
        <w:t xml:space="preserve">INFN – Laboratori Nazionali del Gran Sasso (AQ). </w:t>
      </w:r>
    </w:p>
    <w:p w:rsidR="00076632" w:rsidRDefault="00BC2C9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1C2024"/>
          <w:sz w:val="28"/>
          <w:szCs w:val="29"/>
          <w:lang w:eastAsia="it-IT"/>
        </w:rPr>
      </w:pPr>
      <w:r>
        <w:rPr>
          <w:rFonts w:ascii="Times New Roman" w:eastAsia="Times New Roman" w:hAnsi="Times New Roman" w:cs="Times New Roman"/>
          <w:bCs/>
          <w:color w:val="1C2024"/>
          <w:sz w:val="28"/>
          <w:szCs w:val="29"/>
          <w:lang w:eastAsia="it-IT"/>
        </w:rPr>
        <w:t>Fase di consultazione della popolazione prevista dal D.M. 29 settembre 2016 n. 200</w:t>
      </w:r>
      <w:r>
        <w:rPr>
          <w:rFonts w:ascii="Times New Roman" w:eastAsia="Times New Roman" w:hAnsi="Times New Roman" w:cs="Times New Roman"/>
          <w:color w:val="1C2024"/>
          <w:sz w:val="28"/>
          <w:szCs w:val="29"/>
          <w:lang w:eastAsia="it-IT"/>
        </w:rPr>
        <w:t xml:space="preserve"> </w:t>
      </w:r>
    </w:p>
    <w:p w:rsidR="00076632" w:rsidRDefault="0007663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1C2024"/>
          <w:sz w:val="29"/>
          <w:szCs w:val="29"/>
          <w:lang w:eastAsia="it-IT"/>
        </w:rPr>
      </w:pPr>
    </w:p>
    <w:p w:rsidR="00076632" w:rsidRDefault="00076632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1C2024"/>
          <w:sz w:val="29"/>
          <w:szCs w:val="29"/>
          <w:lang w:eastAsia="it-IT"/>
        </w:rPr>
      </w:pPr>
    </w:p>
    <w:p w:rsidR="00076632" w:rsidRDefault="00BC2C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Si rende noto che la Prefettura di Teramo, di concerto con la Prefettura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dell'Aquila, nell'ambito delle attività di aggiornamento del Piano di Emergenza Esterna dello Stabilimento di soglia superiore “</w:t>
      </w:r>
      <w:r>
        <w:rPr>
          <w:rFonts w:ascii="Times New Roman" w:hAnsi="Times New Roman" w:cs="Times New Roman"/>
          <w:sz w:val="24"/>
          <w:szCs w:val="28"/>
        </w:rPr>
        <w:t>Laboratori Nazionali del Gran Sasso” di L’Aquila (AQ)</w:t>
      </w:r>
      <w:r>
        <w:rPr>
          <w:rFonts w:ascii="Times New Roman" w:eastAsia="Times New Roman" w:hAnsi="Times New Roman" w:cs="Times New Roman"/>
          <w:b/>
          <w:bCs/>
          <w:color w:val="1C2024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ai sensi dell'art. 21, comma 1, del D. </w:t>
      </w:r>
      <w:proofErr w:type="spellStart"/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. n. 105/2015, ha avviato la fa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se di consultazione della popolazione prevista dal D.M. 29 settembre 2016 n. 200, rendendo disponibili le informazioni necessarie per un periodo non inferiore a 30 giorni. </w:t>
      </w: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076632" w:rsidRDefault="00BC2C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Pertanto, a tal fine, si procede alla pubblicazione sul sito web del Comune, dell’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aggiornamento della pianificazione, rappresentando che tale documento sarà disponibile anche sul sito web della Prefettura nella Sezione dedicata all'Area di Protezione Civile. </w:t>
      </w:r>
      <w:r>
        <w:rPr>
          <w:rFonts w:ascii="Times New Roman" w:hAnsi="Times New Roman" w:cs="Times New Roman"/>
          <w:sz w:val="24"/>
          <w:szCs w:val="28"/>
        </w:rPr>
        <w:t>Gli omissis presenti nel documento e l’assenza di alcuni allegati riguardano es</w:t>
      </w:r>
      <w:r>
        <w:rPr>
          <w:rFonts w:ascii="Times New Roman" w:hAnsi="Times New Roman" w:cs="Times New Roman"/>
          <w:sz w:val="24"/>
          <w:szCs w:val="28"/>
        </w:rPr>
        <w:t>clusivamente le informazioni non ostensibili per motivi di tutela dell’ordine e della sicurezza pubblica.</w:t>
      </w: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076632" w:rsidRDefault="00BC2C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È possibile</w:t>
      </w:r>
      <w:r w:rsidR="00C90543"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far pervenire entro 30 giorni 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dalla data di pubblicazione del presente avviso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>alla Prefettura di Teramo</w:t>
      </w:r>
      <w:r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  <w:t xml:space="preserve"> eventuali osservazioni, proposte o richieste in merito al predetto documento che potranno essere prodotte in forma scritta anche mediante strumenti di comunicazione elettronica e telematica e inviate ai seguenti indirizzi:</w:t>
      </w:r>
    </w:p>
    <w:p w:rsidR="001A6F13" w:rsidRDefault="001A6F13">
      <w:pPr>
        <w:jc w:val="both"/>
      </w:pPr>
    </w:p>
    <w:p w:rsidR="001A6F13" w:rsidRPr="001A6F13" w:rsidRDefault="00BC2C99" w:rsidP="001A6F13">
      <w:pPr>
        <w:jc w:val="both"/>
        <w:rPr>
          <w:rFonts w:ascii="Times New Roman" w:eastAsia="Times New Roman" w:hAnsi="Times New Roman" w:cs="Times New Roman"/>
          <w:color w:val="1C2024"/>
          <w:sz w:val="24"/>
          <w:szCs w:val="24"/>
          <w:u w:val="single"/>
          <w:lang w:eastAsia="it-IT"/>
        </w:rPr>
      </w:pPr>
      <w:r w:rsidRPr="001A6F13">
        <w:rPr>
          <w:rFonts w:ascii="Times New Roman" w:eastAsia="Times New Roman" w:hAnsi="Times New Roman" w:cs="Times New Roman"/>
          <w:sz w:val="24"/>
          <w:szCs w:val="24"/>
          <w:lang w:eastAsia="it-IT"/>
        </w:rPr>
        <w:t>protocollo.prefte@pec.interno.it</w:t>
      </w:r>
    </w:p>
    <w:p w:rsidR="001A6F13" w:rsidRDefault="001A6F13">
      <w:pPr>
        <w:jc w:val="both"/>
      </w:pPr>
      <w:r w:rsidRPr="001A6F13">
        <w:rPr>
          <w:rFonts w:ascii="Times New Roman" w:eastAsia="Times New Roman" w:hAnsi="Times New Roman" w:cs="Times New Roman"/>
          <w:sz w:val="24"/>
          <w:szCs w:val="24"/>
          <w:lang w:eastAsia="it-IT"/>
        </w:rPr>
        <w:t>protcivile.pref_teramo@interno.it</w:t>
      </w: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C2024"/>
          <w:sz w:val="24"/>
          <w:szCs w:val="24"/>
          <w:lang w:eastAsia="it-IT"/>
        </w:rPr>
      </w:pPr>
    </w:p>
    <w:p w:rsidR="00076632" w:rsidRDefault="00BC2C9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color w:val="1C2024"/>
          <w:sz w:val="24"/>
          <w:szCs w:val="24"/>
          <w:lang w:eastAsia="it-IT"/>
        </w:rPr>
        <w:t>Le osservazioni pervenute saranno esaminate e valutate nell’ambito del gruppo di lavoro che ha proce</w:t>
      </w:r>
      <w:r>
        <w:rPr>
          <w:rFonts w:ascii="Times New Roman" w:eastAsia="Times New Roman" w:hAnsi="Times New Roman" w:cs="Times New Roman"/>
          <w:iCs/>
          <w:color w:val="1C2024"/>
          <w:sz w:val="24"/>
          <w:szCs w:val="24"/>
          <w:lang w:eastAsia="it-IT"/>
        </w:rPr>
        <w:t>duto all’aggiornamento della pianificazione.</w:t>
      </w: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1C2024"/>
          <w:sz w:val="24"/>
          <w:szCs w:val="24"/>
          <w:lang w:eastAsia="it-IT"/>
        </w:rPr>
      </w:pP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1C2024"/>
          <w:sz w:val="24"/>
          <w:szCs w:val="24"/>
          <w:lang w:eastAsia="it-IT"/>
        </w:rPr>
      </w:pPr>
    </w:p>
    <w:p w:rsidR="00076632" w:rsidRDefault="0007663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1C2024"/>
          <w:sz w:val="24"/>
          <w:szCs w:val="24"/>
          <w:lang w:eastAsia="it-IT"/>
        </w:rPr>
      </w:pPr>
    </w:p>
    <w:sectPr w:rsidR="0007663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2"/>
    <w:rsid w:val="00076632"/>
    <w:rsid w:val="001A6F13"/>
    <w:rsid w:val="00BC2C99"/>
    <w:rsid w:val="00C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FCE"/>
  <w15:docId w15:val="{796B0334-B4C1-4A19-BF08-0C6F761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6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2163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216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Cesidia Marchionni</dc:creator>
  <dc:description/>
  <cp:lastModifiedBy>Orazio Vannucci</cp:lastModifiedBy>
  <cp:revision>13</cp:revision>
  <cp:lastPrinted>2024-03-08T16:05:00Z</cp:lastPrinted>
  <dcterms:created xsi:type="dcterms:W3CDTF">2022-10-27T09:00:00Z</dcterms:created>
  <dcterms:modified xsi:type="dcterms:W3CDTF">2024-03-12T10:08:00Z</dcterms:modified>
  <dc:language>it-IT</dc:language>
</cp:coreProperties>
</file>